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A35" w:rsidRDefault="00B85A35" w:rsidP="00B85A35">
      <w:pPr>
        <w:spacing w:after="0" w:line="336" w:lineRule="atLeast"/>
        <w:rPr>
          <w:rFonts w:ascii="Arial" w:eastAsia="Times New Roman" w:hAnsi="Arial" w:cs="Arial"/>
          <w:b/>
          <w:bCs/>
          <w:color w:val="2C3135"/>
          <w:lang w:val="en" w:eastAsia="en-CA"/>
        </w:rPr>
      </w:pPr>
      <w:r>
        <w:rPr>
          <w:rFonts w:ascii="Arial" w:eastAsia="Times New Roman" w:hAnsi="Arial" w:cs="Arial"/>
          <w:b/>
          <w:bCs/>
          <w:color w:val="2C3135"/>
          <w:lang w:val="en" w:eastAsia="en-CA"/>
        </w:rPr>
        <w:t>July, 2021</w:t>
      </w:r>
    </w:p>
    <w:p w:rsidR="00B85A35" w:rsidRDefault="00B85A35" w:rsidP="00B85A35">
      <w:pPr>
        <w:spacing w:after="0" w:line="336" w:lineRule="atLeast"/>
        <w:rPr>
          <w:rFonts w:ascii="Arial" w:eastAsia="Times New Roman" w:hAnsi="Arial" w:cs="Arial"/>
          <w:b/>
          <w:bCs/>
          <w:color w:val="2C3135"/>
          <w:lang w:val="en" w:eastAsia="en-CA"/>
        </w:rPr>
      </w:pPr>
    </w:p>
    <w:p w:rsidR="00B85A35" w:rsidRDefault="00B85A35" w:rsidP="00B85A35">
      <w:pPr>
        <w:spacing w:after="0" w:line="336" w:lineRule="atLeast"/>
        <w:rPr>
          <w:rFonts w:ascii="Arial" w:eastAsia="Times New Roman" w:hAnsi="Arial" w:cs="Arial"/>
          <w:b/>
          <w:bCs/>
          <w:color w:val="2C3135"/>
          <w:lang w:val="en" w:eastAsia="en-CA"/>
        </w:rPr>
      </w:pPr>
      <w:r>
        <w:rPr>
          <w:rFonts w:ascii="Arial" w:eastAsia="Times New Roman" w:hAnsi="Arial" w:cs="Arial"/>
          <w:b/>
          <w:bCs/>
          <w:color w:val="2C3135"/>
          <w:lang w:val="en" w:eastAsia="en-CA"/>
        </w:rPr>
        <w:t xml:space="preserve">To: MANITOBA </w:t>
      </w:r>
      <w:r w:rsidR="008009C9">
        <w:rPr>
          <w:rFonts w:ascii="Arial" w:eastAsia="Times New Roman" w:hAnsi="Arial" w:cs="Arial"/>
          <w:b/>
          <w:bCs/>
          <w:color w:val="2C3135"/>
          <w:lang w:val="en" w:eastAsia="en-CA"/>
        </w:rPr>
        <w:t xml:space="preserve">OPERATORS </w:t>
      </w:r>
      <w:r>
        <w:rPr>
          <w:rFonts w:ascii="Arial" w:eastAsia="Times New Roman" w:hAnsi="Arial" w:cs="Arial"/>
          <w:b/>
          <w:bCs/>
          <w:color w:val="2C3135"/>
          <w:lang w:val="en" w:eastAsia="en-CA"/>
        </w:rPr>
        <w:t xml:space="preserve"> </w:t>
      </w:r>
      <w:r w:rsidR="00D061D5" w:rsidRPr="00D061D5">
        <w:rPr>
          <w:rFonts w:ascii="Times New Roman" w:eastAsia="Times New Roman" w:hAnsi="Times New Roman" w:cs="Times New Roman"/>
          <w:color w:val="2C3135"/>
          <w:lang w:val="en" w:eastAsia="en-CA"/>
        </w:rPr>
        <w:br/>
      </w:r>
    </w:p>
    <w:p w:rsidR="00435C42" w:rsidRDefault="00B85A35" w:rsidP="00B85A35">
      <w:pPr>
        <w:spacing w:after="0" w:line="336" w:lineRule="atLeast"/>
        <w:rPr>
          <w:rFonts w:ascii="Arial" w:eastAsia="Times New Roman" w:hAnsi="Arial" w:cs="Arial"/>
          <w:b/>
          <w:bCs/>
          <w:color w:val="2C3135"/>
          <w:lang w:val="en" w:eastAsia="en-CA"/>
        </w:rPr>
      </w:pPr>
      <w:r>
        <w:rPr>
          <w:rFonts w:ascii="Arial" w:eastAsia="Times New Roman" w:hAnsi="Arial" w:cs="Arial"/>
          <w:b/>
          <w:bCs/>
          <w:color w:val="2C3135"/>
          <w:lang w:val="en" w:eastAsia="en-CA"/>
        </w:rPr>
        <w:tab/>
        <w:t xml:space="preserve">Re: NOTICE TO MANITOBA OPERATORS </w:t>
      </w:r>
    </w:p>
    <w:p w:rsidR="00D061D5" w:rsidRPr="00435C42" w:rsidRDefault="00435C42" w:rsidP="00B85A35">
      <w:pPr>
        <w:spacing w:after="0" w:line="336" w:lineRule="atLeast"/>
        <w:rPr>
          <w:rFonts w:ascii="Arial" w:eastAsia="Times New Roman" w:hAnsi="Arial" w:cs="Arial"/>
          <w:b/>
          <w:bCs/>
          <w:color w:val="2C3135"/>
          <w:lang w:val="en" w:eastAsia="en-CA"/>
        </w:rPr>
      </w:pPr>
      <w:r>
        <w:rPr>
          <w:rFonts w:ascii="Arial" w:eastAsia="Times New Roman" w:hAnsi="Arial" w:cs="Arial"/>
          <w:b/>
          <w:bCs/>
          <w:color w:val="2C3135"/>
          <w:lang w:val="en" w:eastAsia="en-CA"/>
        </w:rPr>
        <w:tab/>
        <w:t xml:space="preserve">      </w:t>
      </w:r>
      <w:bookmarkStart w:id="0" w:name="_GoBack"/>
      <w:bookmarkEnd w:id="0"/>
      <w:r w:rsidR="000E4EB5">
        <w:rPr>
          <w:rFonts w:ascii="Arial" w:eastAsia="Times New Roman" w:hAnsi="Arial" w:cs="Arial"/>
          <w:b/>
          <w:bCs/>
          <w:color w:val="2C3135"/>
          <w:lang w:val="en" w:eastAsia="en-CA"/>
        </w:rPr>
        <w:t>- Legislative</w:t>
      </w:r>
      <w:r w:rsidR="00B85A35">
        <w:rPr>
          <w:rFonts w:ascii="Arial" w:eastAsia="Times New Roman" w:hAnsi="Arial" w:cs="Arial"/>
          <w:b/>
          <w:bCs/>
          <w:color w:val="2C3135"/>
          <w:lang w:val="en" w:eastAsia="en-CA"/>
        </w:rPr>
        <w:t xml:space="preserve"> Requirements</w:t>
      </w:r>
      <w:r>
        <w:rPr>
          <w:rFonts w:ascii="Arial" w:eastAsia="Times New Roman" w:hAnsi="Arial" w:cs="Arial"/>
          <w:b/>
          <w:bCs/>
          <w:color w:val="2C3135"/>
          <w:lang w:val="en" w:eastAsia="en-CA"/>
        </w:rPr>
        <w:t xml:space="preserve"> </w:t>
      </w:r>
      <w:r w:rsidR="00B85A35">
        <w:rPr>
          <w:rFonts w:ascii="Arial" w:eastAsia="Times New Roman" w:hAnsi="Arial" w:cs="Arial"/>
          <w:b/>
          <w:bCs/>
          <w:color w:val="2C3135"/>
          <w:lang w:val="en" w:eastAsia="en-CA"/>
        </w:rPr>
        <w:t xml:space="preserve">Section 17 (1) </w:t>
      </w:r>
      <w:r w:rsidR="000E4EB5">
        <w:rPr>
          <w:rFonts w:ascii="Arial" w:eastAsia="Times New Roman" w:hAnsi="Arial" w:cs="Arial"/>
          <w:b/>
          <w:bCs/>
          <w:color w:val="2C3135"/>
          <w:lang w:val="en" w:eastAsia="en-CA"/>
        </w:rPr>
        <w:t xml:space="preserve">and (2) </w:t>
      </w:r>
      <w:r w:rsidR="00B85A35">
        <w:rPr>
          <w:rFonts w:ascii="Arial" w:eastAsia="Times New Roman" w:hAnsi="Arial" w:cs="Arial"/>
          <w:b/>
          <w:bCs/>
          <w:color w:val="2C3135"/>
          <w:lang w:val="en" w:eastAsia="en-CA"/>
        </w:rPr>
        <w:t xml:space="preserve">of </w:t>
      </w:r>
      <w:proofErr w:type="gramStart"/>
      <w:r w:rsidR="00B85A35" w:rsidRPr="00B85A35">
        <w:rPr>
          <w:rFonts w:ascii="Arial" w:eastAsia="Times New Roman" w:hAnsi="Arial" w:cs="Arial"/>
          <w:b/>
          <w:bCs/>
          <w:i/>
          <w:color w:val="2C3135"/>
          <w:lang w:val="en" w:eastAsia="en-CA"/>
        </w:rPr>
        <w:t>The</w:t>
      </w:r>
      <w:proofErr w:type="gramEnd"/>
      <w:r w:rsidR="00B85A35" w:rsidRPr="00B85A35">
        <w:rPr>
          <w:rFonts w:ascii="Arial" w:eastAsia="Times New Roman" w:hAnsi="Arial" w:cs="Arial"/>
          <w:b/>
          <w:bCs/>
          <w:i/>
          <w:color w:val="2C3135"/>
          <w:lang w:val="en" w:eastAsia="en-CA"/>
        </w:rPr>
        <w:t xml:space="preserve"> Surface Rights Act</w:t>
      </w:r>
    </w:p>
    <w:p w:rsidR="00B85A35" w:rsidRDefault="00B85A35" w:rsidP="00B85A35">
      <w:pPr>
        <w:spacing w:after="0" w:line="240" w:lineRule="auto"/>
        <w:rPr>
          <w:rFonts w:cstheme="minorHAnsi"/>
          <w:color w:val="2C3135"/>
          <w:sz w:val="24"/>
          <w:szCs w:val="24"/>
          <w:lang w:val="en"/>
        </w:rPr>
      </w:pPr>
    </w:p>
    <w:p w:rsidR="00B85A35" w:rsidRDefault="00B85A35" w:rsidP="00B85A35">
      <w:pPr>
        <w:spacing w:after="0" w:line="240" w:lineRule="auto"/>
        <w:rPr>
          <w:rFonts w:cstheme="minorHAnsi"/>
          <w:color w:val="2C3135"/>
          <w:sz w:val="24"/>
          <w:szCs w:val="24"/>
          <w:lang w:val="en"/>
        </w:rPr>
      </w:pPr>
    </w:p>
    <w:p w:rsidR="00D061D5" w:rsidRDefault="008009C9" w:rsidP="00B85A35">
      <w:pPr>
        <w:spacing w:after="0" w:line="240" w:lineRule="auto"/>
        <w:rPr>
          <w:rFonts w:cstheme="minorHAnsi"/>
          <w:color w:val="2C3135"/>
          <w:sz w:val="24"/>
          <w:szCs w:val="24"/>
          <w:lang w:val="en"/>
        </w:rPr>
      </w:pPr>
      <w:r w:rsidRPr="00752896">
        <w:rPr>
          <w:rFonts w:cstheme="minorHAnsi"/>
          <w:color w:val="2C3135"/>
          <w:sz w:val="24"/>
          <w:szCs w:val="24"/>
          <w:lang w:val="en"/>
        </w:rPr>
        <w:t xml:space="preserve">Note that pursuant to Section </w:t>
      </w:r>
      <w:r w:rsidR="00752896" w:rsidRPr="00752896">
        <w:rPr>
          <w:rFonts w:cstheme="minorHAnsi"/>
          <w:color w:val="2C3135"/>
          <w:sz w:val="24"/>
          <w:szCs w:val="24"/>
          <w:lang w:val="en"/>
        </w:rPr>
        <w:t>17(1) and 17(2)</w:t>
      </w:r>
      <w:r w:rsidRPr="00752896">
        <w:rPr>
          <w:rFonts w:cstheme="minorHAnsi"/>
          <w:color w:val="2C3135"/>
          <w:sz w:val="24"/>
          <w:szCs w:val="24"/>
          <w:lang w:val="en"/>
        </w:rPr>
        <w:t xml:space="preserve"> of the</w:t>
      </w:r>
      <w:r w:rsidRPr="00752896">
        <w:rPr>
          <w:rFonts w:cstheme="minorHAnsi"/>
          <w:i/>
          <w:iCs/>
          <w:color w:val="2C3135"/>
          <w:sz w:val="24"/>
          <w:szCs w:val="24"/>
          <w:lang w:val="en"/>
        </w:rPr>
        <w:t xml:space="preserve"> </w:t>
      </w:r>
      <w:r w:rsidR="00752896" w:rsidRPr="00752896">
        <w:rPr>
          <w:rFonts w:cstheme="minorHAnsi"/>
          <w:i/>
          <w:iCs/>
          <w:color w:val="2C3135"/>
          <w:sz w:val="24"/>
          <w:szCs w:val="24"/>
          <w:lang w:val="en"/>
        </w:rPr>
        <w:t xml:space="preserve">Surface Rights </w:t>
      </w:r>
      <w:r w:rsidRPr="00752896">
        <w:rPr>
          <w:rFonts w:cstheme="minorHAnsi"/>
          <w:i/>
          <w:iCs/>
          <w:color w:val="2C3135"/>
          <w:sz w:val="24"/>
          <w:szCs w:val="24"/>
          <w:lang w:val="en"/>
        </w:rPr>
        <w:t>Act</w:t>
      </w:r>
      <w:r w:rsidRPr="00752896">
        <w:rPr>
          <w:rFonts w:cstheme="minorHAnsi"/>
          <w:color w:val="2C3135"/>
          <w:sz w:val="24"/>
          <w:szCs w:val="24"/>
          <w:lang w:val="en"/>
        </w:rPr>
        <w:t xml:space="preserve">, every lease or agreement </w:t>
      </w:r>
      <w:r w:rsidR="00752896" w:rsidRPr="00752896">
        <w:rPr>
          <w:rFonts w:cstheme="minorHAnsi"/>
          <w:color w:val="2C3135"/>
          <w:sz w:val="24"/>
          <w:szCs w:val="24"/>
          <w:lang w:val="en"/>
        </w:rPr>
        <w:t xml:space="preserve">must be </w:t>
      </w:r>
      <w:r w:rsidRPr="00752896">
        <w:rPr>
          <w:rFonts w:cstheme="minorHAnsi"/>
          <w:color w:val="2C3135"/>
          <w:sz w:val="24"/>
          <w:szCs w:val="24"/>
          <w:lang w:val="en"/>
        </w:rPr>
        <w:t>filed by an Operator at the office of the Board</w:t>
      </w:r>
      <w:r w:rsidR="00752896" w:rsidRPr="00752896">
        <w:rPr>
          <w:rFonts w:cstheme="minorHAnsi"/>
          <w:color w:val="2C3135"/>
          <w:sz w:val="24"/>
          <w:szCs w:val="24"/>
          <w:lang w:val="en"/>
        </w:rPr>
        <w:t xml:space="preserve"> within 30 days</w:t>
      </w:r>
      <w:r w:rsidRPr="00752896">
        <w:rPr>
          <w:rFonts w:cstheme="minorHAnsi"/>
          <w:color w:val="2C3135"/>
          <w:sz w:val="24"/>
          <w:szCs w:val="24"/>
          <w:lang w:val="en"/>
        </w:rPr>
        <w:t>.</w:t>
      </w:r>
    </w:p>
    <w:p w:rsidR="00263650" w:rsidRPr="00752896" w:rsidRDefault="00263650" w:rsidP="00B85A35">
      <w:pPr>
        <w:spacing w:after="0" w:line="240" w:lineRule="auto"/>
        <w:rPr>
          <w:rFonts w:cstheme="minorHAnsi"/>
          <w:color w:val="2C3135"/>
          <w:sz w:val="24"/>
          <w:szCs w:val="24"/>
          <w:lang w:val="en"/>
        </w:rPr>
      </w:pPr>
    </w:p>
    <w:p w:rsidR="008009C9" w:rsidRPr="00752896" w:rsidRDefault="00263650" w:rsidP="00B85A35">
      <w:pPr>
        <w:pStyle w:val="ListParagraph"/>
        <w:ind w:left="0"/>
        <w:rPr>
          <w:rFonts w:asciiTheme="minorHAnsi" w:hAnsiTheme="minorHAnsi" w:cstheme="minorHAnsi"/>
          <w:sz w:val="24"/>
          <w:szCs w:val="24"/>
        </w:rPr>
      </w:pPr>
      <w:r>
        <w:rPr>
          <w:rFonts w:asciiTheme="minorHAnsi" w:hAnsiTheme="minorHAnsi" w:cstheme="minorHAnsi"/>
          <w:sz w:val="24"/>
          <w:szCs w:val="24"/>
        </w:rPr>
        <w:t>Operator's o</w:t>
      </w:r>
      <w:r w:rsidR="008009C9" w:rsidRPr="00752896">
        <w:rPr>
          <w:rFonts w:asciiTheme="minorHAnsi" w:hAnsiTheme="minorHAnsi" w:cstheme="minorHAnsi"/>
          <w:sz w:val="24"/>
          <w:szCs w:val="24"/>
        </w:rPr>
        <w:t xml:space="preserve">bligations to file Agreements Sections 17(1) and (2) of </w:t>
      </w:r>
      <w:r w:rsidR="008009C9" w:rsidRPr="000E4EB5">
        <w:rPr>
          <w:rFonts w:asciiTheme="minorHAnsi" w:hAnsiTheme="minorHAnsi" w:cstheme="minorHAnsi"/>
          <w:i/>
          <w:sz w:val="24"/>
          <w:szCs w:val="24"/>
        </w:rPr>
        <w:t>The Surface Rights Act,</w:t>
      </w:r>
      <w:r w:rsidR="008009C9" w:rsidRPr="00752896">
        <w:rPr>
          <w:rFonts w:asciiTheme="minorHAnsi" w:hAnsiTheme="minorHAnsi" w:cstheme="minorHAnsi"/>
          <w:sz w:val="24"/>
          <w:szCs w:val="24"/>
        </w:rPr>
        <w:t xml:space="preserve"> C.C.S.M., c. S235 (the "Act") provides as follows: </w:t>
      </w:r>
    </w:p>
    <w:p w:rsidR="008009C9" w:rsidRPr="00752896" w:rsidRDefault="008009C9" w:rsidP="00B85A35">
      <w:pPr>
        <w:pStyle w:val="ListParagraph"/>
        <w:ind w:left="0"/>
        <w:rPr>
          <w:rFonts w:asciiTheme="minorHAnsi" w:hAnsiTheme="minorHAnsi" w:cstheme="minorHAnsi"/>
          <w:color w:val="1F497D"/>
          <w:sz w:val="24"/>
          <w:szCs w:val="24"/>
        </w:rPr>
      </w:pPr>
    </w:p>
    <w:p w:rsidR="008009C9" w:rsidRPr="00752896" w:rsidRDefault="008009C9" w:rsidP="00B85A35">
      <w:pPr>
        <w:pStyle w:val="ListParagraph"/>
        <w:ind w:left="567" w:right="856"/>
        <w:rPr>
          <w:rFonts w:asciiTheme="minorHAnsi" w:hAnsiTheme="minorHAnsi" w:cstheme="minorHAnsi"/>
          <w:sz w:val="24"/>
          <w:szCs w:val="24"/>
        </w:rPr>
      </w:pPr>
      <w:r w:rsidRPr="00752896">
        <w:rPr>
          <w:rFonts w:asciiTheme="minorHAnsi" w:hAnsiTheme="minorHAnsi" w:cstheme="minorHAnsi"/>
          <w:sz w:val="24"/>
          <w:szCs w:val="24"/>
        </w:rPr>
        <w:t xml:space="preserve">"17 (1) Every lease or agreement entered into after the coming into force of this Act between an operator and an owner or between an operator and the occupant, if any, with respect to any surface right shall be in writing and a copy of the lease or agreement shall be filed by the operator with the board within 30 days after the date of execution thereof. </w:t>
      </w:r>
    </w:p>
    <w:p w:rsidR="008009C9" w:rsidRPr="00752896" w:rsidRDefault="008009C9" w:rsidP="00B85A35">
      <w:pPr>
        <w:pStyle w:val="ListParagraph"/>
        <w:ind w:left="567" w:right="856"/>
        <w:rPr>
          <w:rFonts w:asciiTheme="minorHAnsi" w:hAnsiTheme="minorHAnsi" w:cstheme="minorHAnsi"/>
          <w:color w:val="1F497D"/>
          <w:sz w:val="24"/>
          <w:szCs w:val="24"/>
        </w:rPr>
      </w:pPr>
    </w:p>
    <w:p w:rsidR="008009C9" w:rsidRPr="00752896" w:rsidRDefault="008009C9" w:rsidP="00B85A35">
      <w:pPr>
        <w:pStyle w:val="ListParagraph"/>
        <w:ind w:left="567" w:right="856"/>
        <w:rPr>
          <w:rFonts w:asciiTheme="minorHAnsi" w:hAnsiTheme="minorHAnsi" w:cstheme="minorHAnsi"/>
          <w:sz w:val="24"/>
          <w:szCs w:val="24"/>
        </w:rPr>
      </w:pPr>
      <w:r w:rsidRPr="00752896">
        <w:rPr>
          <w:rFonts w:asciiTheme="minorHAnsi" w:hAnsiTheme="minorHAnsi" w:cstheme="minorHAnsi"/>
          <w:sz w:val="24"/>
          <w:szCs w:val="24"/>
        </w:rPr>
        <w:t>17 (2) Within 30 days of an operator making an assignment of a lease or an agreement described in subsection (1), written</w:t>
      </w:r>
      <w:r w:rsidRPr="00752896">
        <w:rPr>
          <w:rFonts w:asciiTheme="minorHAnsi" w:hAnsiTheme="minorHAnsi" w:cstheme="minorHAnsi"/>
          <w:color w:val="1F497D"/>
          <w:sz w:val="24"/>
          <w:szCs w:val="24"/>
        </w:rPr>
        <w:t xml:space="preserve"> </w:t>
      </w:r>
      <w:r w:rsidRPr="00752896">
        <w:rPr>
          <w:rFonts w:asciiTheme="minorHAnsi" w:hAnsiTheme="minorHAnsi" w:cstheme="minorHAnsi"/>
          <w:sz w:val="24"/>
          <w:szCs w:val="24"/>
        </w:rPr>
        <w:t xml:space="preserve">notice of the assignment shall be given by the operator to the board and to the owner or occupant, if any." </w:t>
      </w:r>
    </w:p>
    <w:p w:rsidR="00752896" w:rsidRDefault="00752896" w:rsidP="00B85A35">
      <w:pPr>
        <w:pStyle w:val="ListParagraph"/>
        <w:ind w:left="567" w:right="856"/>
        <w:rPr>
          <w:rFonts w:asciiTheme="minorHAnsi" w:hAnsiTheme="minorHAnsi" w:cstheme="minorHAnsi"/>
          <w:sz w:val="24"/>
          <w:szCs w:val="24"/>
        </w:rPr>
      </w:pPr>
    </w:p>
    <w:p w:rsidR="00752896" w:rsidRDefault="00752896" w:rsidP="00B85A35">
      <w:pPr>
        <w:pStyle w:val="ListParagraph"/>
        <w:ind w:left="0" w:right="856"/>
        <w:rPr>
          <w:rFonts w:asciiTheme="minorHAnsi" w:hAnsiTheme="minorHAnsi" w:cstheme="minorHAnsi"/>
          <w:sz w:val="24"/>
          <w:szCs w:val="24"/>
        </w:rPr>
      </w:pPr>
      <w:r w:rsidRPr="00B85A35">
        <w:rPr>
          <w:rFonts w:asciiTheme="minorHAnsi" w:hAnsiTheme="minorHAnsi" w:cstheme="minorHAnsi"/>
          <w:sz w:val="24"/>
          <w:szCs w:val="24"/>
        </w:rPr>
        <w:t>This is a legal obligation</w:t>
      </w:r>
      <w:r w:rsidR="007431B0" w:rsidRPr="00B85A35">
        <w:rPr>
          <w:rFonts w:asciiTheme="minorHAnsi" w:hAnsiTheme="minorHAnsi" w:cstheme="minorHAnsi"/>
          <w:sz w:val="24"/>
          <w:szCs w:val="24"/>
        </w:rPr>
        <w:t xml:space="preserve">, therefore to </w:t>
      </w:r>
      <w:r w:rsidRPr="00B85A35">
        <w:rPr>
          <w:rFonts w:asciiTheme="minorHAnsi" w:hAnsiTheme="minorHAnsi" w:cstheme="minorHAnsi"/>
          <w:sz w:val="24"/>
          <w:szCs w:val="24"/>
        </w:rPr>
        <w:t xml:space="preserve">ensure your petroleum development is kept in good standing, compliance with all regulatory requirements must be met.  </w:t>
      </w:r>
    </w:p>
    <w:p w:rsidR="00263650" w:rsidRDefault="00263650" w:rsidP="00B85A35">
      <w:pPr>
        <w:pStyle w:val="ListParagraph"/>
        <w:ind w:left="0" w:right="856"/>
        <w:rPr>
          <w:rFonts w:asciiTheme="minorHAnsi" w:hAnsiTheme="minorHAnsi" w:cstheme="minorHAnsi"/>
          <w:sz w:val="24"/>
          <w:szCs w:val="24"/>
        </w:rPr>
      </w:pPr>
    </w:p>
    <w:p w:rsidR="00263650" w:rsidRDefault="00263650" w:rsidP="00B85A35">
      <w:pPr>
        <w:pStyle w:val="ListParagraph"/>
        <w:ind w:left="0" w:right="856"/>
        <w:rPr>
          <w:rFonts w:asciiTheme="minorHAnsi" w:hAnsiTheme="minorHAnsi" w:cstheme="minorHAnsi"/>
          <w:sz w:val="24"/>
          <w:szCs w:val="24"/>
        </w:rPr>
      </w:pPr>
      <w:r>
        <w:rPr>
          <w:rFonts w:asciiTheme="minorHAnsi" w:hAnsiTheme="minorHAnsi" w:cstheme="minorHAnsi"/>
          <w:sz w:val="24"/>
          <w:szCs w:val="24"/>
        </w:rPr>
        <w:t>Please forward copies of required leases or agreements to:</w:t>
      </w:r>
    </w:p>
    <w:p w:rsidR="00263650" w:rsidRDefault="00263650" w:rsidP="00B85A35">
      <w:pPr>
        <w:pStyle w:val="ListParagraph"/>
        <w:ind w:left="0" w:right="856"/>
        <w:rPr>
          <w:rFonts w:asciiTheme="minorHAnsi" w:hAnsiTheme="minorHAnsi" w:cstheme="minorHAnsi"/>
          <w:sz w:val="24"/>
          <w:szCs w:val="24"/>
        </w:rPr>
      </w:pPr>
    </w:p>
    <w:p w:rsidR="00263650" w:rsidRDefault="00263650" w:rsidP="00B85A35">
      <w:pPr>
        <w:pStyle w:val="ListParagraph"/>
        <w:ind w:left="0" w:right="856"/>
        <w:rPr>
          <w:rFonts w:asciiTheme="minorHAnsi" w:hAnsiTheme="minorHAnsi" w:cstheme="minorHAnsi"/>
          <w:sz w:val="24"/>
          <w:szCs w:val="24"/>
        </w:rPr>
      </w:pPr>
      <w:r>
        <w:rPr>
          <w:rFonts w:asciiTheme="minorHAnsi" w:hAnsiTheme="minorHAnsi" w:cstheme="minorHAnsi"/>
          <w:sz w:val="24"/>
          <w:szCs w:val="24"/>
        </w:rPr>
        <w:tab/>
        <w:t>Attn:  Surface Rights Board Administrator</w:t>
      </w:r>
    </w:p>
    <w:p w:rsidR="00263650" w:rsidRDefault="00263650" w:rsidP="00B85A35">
      <w:pPr>
        <w:pStyle w:val="ListParagraph"/>
        <w:ind w:left="0" w:right="856"/>
        <w:rPr>
          <w:rFonts w:asciiTheme="minorHAnsi" w:hAnsiTheme="minorHAnsi" w:cstheme="minorHAnsi"/>
          <w:sz w:val="24"/>
          <w:szCs w:val="24"/>
        </w:rPr>
      </w:pPr>
      <w:r>
        <w:rPr>
          <w:rFonts w:asciiTheme="minorHAnsi" w:hAnsiTheme="minorHAnsi" w:cstheme="minorHAnsi"/>
          <w:sz w:val="24"/>
          <w:szCs w:val="24"/>
        </w:rPr>
        <w:tab/>
        <w:t>Surface Rights Board of Manitoba</w:t>
      </w:r>
    </w:p>
    <w:p w:rsidR="00263650" w:rsidRDefault="00263650" w:rsidP="00263650">
      <w:pPr>
        <w:autoSpaceDE w:val="0"/>
        <w:autoSpaceDN w:val="0"/>
        <w:adjustRightInd w:val="0"/>
        <w:spacing w:after="0" w:line="240" w:lineRule="auto"/>
        <w:ind w:left="567" w:right="289"/>
        <w:rPr>
          <w:rFonts w:cstheme="minorHAnsi"/>
          <w:color w:val="000000"/>
          <w:sz w:val="24"/>
          <w:szCs w:val="24"/>
        </w:rPr>
      </w:pPr>
      <w:r>
        <w:rPr>
          <w:rFonts w:cstheme="minorHAnsi"/>
          <w:sz w:val="24"/>
          <w:szCs w:val="24"/>
        </w:rPr>
        <w:tab/>
      </w:r>
      <w:r>
        <w:rPr>
          <w:rFonts w:cstheme="minorHAnsi"/>
          <w:color w:val="000000"/>
          <w:sz w:val="24"/>
          <w:szCs w:val="24"/>
        </w:rPr>
        <w:t>Unit 360, 1395 Ellice Avenue</w:t>
      </w:r>
    </w:p>
    <w:p w:rsidR="00263650" w:rsidRPr="001F018E" w:rsidRDefault="00263650" w:rsidP="00263650">
      <w:pPr>
        <w:autoSpaceDE w:val="0"/>
        <w:autoSpaceDN w:val="0"/>
        <w:adjustRightInd w:val="0"/>
        <w:spacing w:after="0" w:line="240" w:lineRule="auto"/>
        <w:ind w:left="567" w:right="289"/>
        <w:rPr>
          <w:rFonts w:cstheme="minorHAnsi"/>
          <w:color w:val="000000"/>
          <w:sz w:val="24"/>
          <w:szCs w:val="24"/>
        </w:rPr>
      </w:pPr>
      <w:r>
        <w:rPr>
          <w:rFonts w:cstheme="minorHAnsi"/>
          <w:color w:val="000000"/>
          <w:sz w:val="24"/>
          <w:szCs w:val="24"/>
        </w:rPr>
        <w:t xml:space="preserve">   </w:t>
      </w:r>
      <w:r w:rsidRPr="001F018E">
        <w:rPr>
          <w:rFonts w:cstheme="minorHAnsi"/>
          <w:color w:val="000000"/>
          <w:sz w:val="24"/>
          <w:szCs w:val="24"/>
        </w:rPr>
        <w:t xml:space="preserve">Winnipeg, </w:t>
      </w:r>
      <w:proofErr w:type="gramStart"/>
      <w:r w:rsidRPr="001F018E">
        <w:rPr>
          <w:rFonts w:cstheme="minorHAnsi"/>
          <w:color w:val="000000"/>
          <w:sz w:val="24"/>
          <w:szCs w:val="24"/>
        </w:rPr>
        <w:t xml:space="preserve">Manitoba </w:t>
      </w:r>
      <w:r>
        <w:rPr>
          <w:rFonts w:cstheme="minorHAnsi"/>
          <w:color w:val="000000"/>
          <w:sz w:val="24"/>
          <w:szCs w:val="24"/>
        </w:rPr>
        <w:t xml:space="preserve"> </w:t>
      </w:r>
      <w:r w:rsidRPr="001F018E">
        <w:rPr>
          <w:rFonts w:cstheme="minorHAnsi"/>
          <w:color w:val="000000"/>
          <w:sz w:val="24"/>
          <w:szCs w:val="24"/>
        </w:rPr>
        <w:t>R3G</w:t>
      </w:r>
      <w:proofErr w:type="gramEnd"/>
      <w:r w:rsidRPr="001F018E">
        <w:rPr>
          <w:rFonts w:cstheme="minorHAnsi"/>
          <w:color w:val="000000"/>
          <w:sz w:val="24"/>
          <w:szCs w:val="24"/>
        </w:rPr>
        <w:t xml:space="preserve"> 3P2 </w:t>
      </w:r>
    </w:p>
    <w:p w:rsidR="00263650" w:rsidRPr="00B85A35" w:rsidRDefault="00263650" w:rsidP="00B85A35">
      <w:pPr>
        <w:pStyle w:val="ListParagraph"/>
        <w:ind w:left="0" w:right="856"/>
        <w:rPr>
          <w:rFonts w:asciiTheme="minorHAnsi" w:hAnsiTheme="minorHAnsi" w:cstheme="minorHAnsi"/>
          <w:sz w:val="24"/>
          <w:szCs w:val="24"/>
        </w:rPr>
      </w:pPr>
    </w:p>
    <w:p w:rsidR="00752896" w:rsidRPr="00B85A35" w:rsidRDefault="00752896" w:rsidP="00B85A35">
      <w:pPr>
        <w:pStyle w:val="ListParagraph"/>
        <w:ind w:left="0" w:right="856"/>
        <w:rPr>
          <w:rFonts w:asciiTheme="minorHAnsi" w:hAnsiTheme="minorHAnsi" w:cstheme="minorHAnsi"/>
          <w:color w:val="1F497D"/>
          <w:sz w:val="24"/>
          <w:szCs w:val="24"/>
        </w:rPr>
      </w:pPr>
    </w:p>
    <w:p w:rsidR="008009C9" w:rsidRDefault="00263650" w:rsidP="00B85A35">
      <w:pPr>
        <w:spacing w:after="0" w:line="336" w:lineRule="atLeast"/>
        <w:rPr>
          <w:color w:val="2C3135"/>
        </w:rPr>
      </w:pPr>
      <w:r>
        <w:rPr>
          <w:color w:val="2C3135"/>
        </w:rPr>
        <w:t>Sincerely</w:t>
      </w:r>
    </w:p>
    <w:p w:rsidR="00263650" w:rsidRDefault="00263650" w:rsidP="00B85A35">
      <w:pPr>
        <w:spacing w:after="0" w:line="336" w:lineRule="atLeast"/>
        <w:rPr>
          <w:color w:val="2C3135"/>
        </w:rPr>
      </w:pPr>
    </w:p>
    <w:p w:rsidR="00263650" w:rsidRDefault="00263650" w:rsidP="00B85A35">
      <w:pPr>
        <w:spacing w:after="0" w:line="336" w:lineRule="atLeast"/>
        <w:rPr>
          <w:color w:val="2C3135"/>
        </w:rPr>
      </w:pPr>
      <w:r>
        <w:rPr>
          <w:color w:val="2C3135"/>
        </w:rPr>
        <w:t xml:space="preserve">Surface Rights Board Administrator </w:t>
      </w:r>
    </w:p>
    <w:p w:rsidR="008009C9" w:rsidRPr="00855BD9" w:rsidRDefault="00263650" w:rsidP="00855BD9">
      <w:pPr>
        <w:spacing w:after="0" w:line="336" w:lineRule="atLeast"/>
        <w:rPr>
          <w:i/>
          <w:color w:val="2C3135"/>
        </w:rPr>
      </w:pPr>
      <w:r w:rsidRPr="00263650">
        <w:rPr>
          <w:i/>
          <w:color w:val="2C3135"/>
        </w:rPr>
        <w:t xml:space="preserve"> On behalf of the Surface Rights Board</w:t>
      </w:r>
    </w:p>
    <w:p w:rsidR="00D061D5" w:rsidRPr="00855BD9" w:rsidRDefault="00D061D5" w:rsidP="00855BD9">
      <w:pPr>
        <w:spacing w:before="100" w:beforeAutospacing="1" w:after="100" w:afterAutospacing="1" w:line="336" w:lineRule="atLeast"/>
        <w:rPr>
          <w:rFonts w:ascii="Times New Roman" w:eastAsia="Times New Roman" w:hAnsi="Times New Roman" w:cs="Times New Roman"/>
          <w:color w:val="2C3135"/>
          <w:lang w:val="en" w:eastAsia="en-CA"/>
        </w:rPr>
      </w:pPr>
      <w:r w:rsidRPr="00D061D5">
        <w:rPr>
          <w:rFonts w:ascii="Times New Roman" w:eastAsia="Times New Roman" w:hAnsi="Times New Roman" w:cs="Times New Roman"/>
          <w:color w:val="2C3135"/>
          <w:lang w:val="en" w:eastAsia="en-CA"/>
        </w:rPr>
        <w:t> </w:t>
      </w:r>
    </w:p>
    <w:sectPr w:rsidR="00D061D5" w:rsidRPr="00855B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C10716"/>
    <w:multiLevelType w:val="multilevel"/>
    <w:tmpl w:val="EDB8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1D5"/>
    <w:rsid w:val="00073410"/>
    <w:rsid w:val="000E4EB5"/>
    <w:rsid w:val="00173731"/>
    <w:rsid w:val="00263650"/>
    <w:rsid w:val="00435C42"/>
    <w:rsid w:val="007431B0"/>
    <w:rsid w:val="00752896"/>
    <w:rsid w:val="007F4BF0"/>
    <w:rsid w:val="008009C9"/>
    <w:rsid w:val="00855BD9"/>
    <w:rsid w:val="00A81818"/>
    <w:rsid w:val="00B85A35"/>
    <w:rsid w:val="00D061D5"/>
    <w:rsid w:val="00E250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BC262"/>
  <w15:chartTrackingRefBased/>
  <w15:docId w15:val="{1AA67A0C-E795-4DEB-A3E8-6122AE0C8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9C9"/>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069255">
      <w:bodyDiv w:val="1"/>
      <w:marLeft w:val="0"/>
      <w:marRight w:val="0"/>
      <w:marTop w:val="0"/>
      <w:marBottom w:val="0"/>
      <w:divBdr>
        <w:top w:val="none" w:sz="0" w:space="0" w:color="auto"/>
        <w:left w:val="none" w:sz="0" w:space="0" w:color="auto"/>
        <w:bottom w:val="none" w:sz="0" w:space="0" w:color="auto"/>
        <w:right w:val="none" w:sz="0" w:space="0" w:color="auto"/>
      </w:divBdr>
    </w:div>
    <w:div w:id="1363477204">
      <w:bodyDiv w:val="1"/>
      <w:marLeft w:val="0"/>
      <w:marRight w:val="0"/>
      <w:marTop w:val="0"/>
      <w:marBottom w:val="0"/>
      <w:divBdr>
        <w:top w:val="none" w:sz="0" w:space="0" w:color="auto"/>
        <w:left w:val="none" w:sz="0" w:space="0" w:color="auto"/>
        <w:bottom w:val="none" w:sz="0" w:space="0" w:color="auto"/>
        <w:right w:val="none" w:sz="0" w:space="0" w:color="auto"/>
      </w:divBdr>
      <w:divsChild>
        <w:div w:id="1050495840">
          <w:marLeft w:val="0"/>
          <w:marRight w:val="0"/>
          <w:marTop w:val="0"/>
          <w:marBottom w:val="0"/>
          <w:divBdr>
            <w:top w:val="none" w:sz="0" w:space="0" w:color="auto"/>
            <w:left w:val="none" w:sz="0" w:space="0" w:color="auto"/>
            <w:bottom w:val="none" w:sz="0" w:space="0" w:color="auto"/>
            <w:right w:val="none" w:sz="0" w:space="0" w:color="auto"/>
          </w:divBdr>
          <w:divsChild>
            <w:div w:id="726731114">
              <w:marLeft w:val="0"/>
              <w:marRight w:val="0"/>
              <w:marTop w:val="0"/>
              <w:marBottom w:val="0"/>
              <w:divBdr>
                <w:top w:val="none" w:sz="0" w:space="0" w:color="auto"/>
                <w:left w:val="none" w:sz="0" w:space="0" w:color="auto"/>
                <w:bottom w:val="none" w:sz="0" w:space="0" w:color="auto"/>
                <w:right w:val="none" w:sz="0" w:space="0" w:color="auto"/>
              </w:divBdr>
              <w:divsChild>
                <w:div w:id="676541685">
                  <w:marLeft w:val="0"/>
                  <w:marRight w:val="0"/>
                  <w:marTop w:val="0"/>
                  <w:marBottom w:val="0"/>
                  <w:divBdr>
                    <w:top w:val="none" w:sz="0" w:space="0" w:color="auto"/>
                    <w:left w:val="none" w:sz="0" w:space="0" w:color="auto"/>
                    <w:bottom w:val="none" w:sz="0" w:space="0" w:color="auto"/>
                    <w:right w:val="none" w:sz="0" w:space="0" w:color="auto"/>
                  </w:divBdr>
                  <w:divsChild>
                    <w:div w:id="722486051">
                      <w:marLeft w:val="0"/>
                      <w:marRight w:val="0"/>
                      <w:marTop w:val="0"/>
                      <w:marBottom w:val="0"/>
                      <w:divBdr>
                        <w:top w:val="none" w:sz="0" w:space="0" w:color="auto"/>
                        <w:left w:val="none" w:sz="0" w:space="0" w:color="auto"/>
                        <w:bottom w:val="none" w:sz="0" w:space="0" w:color="auto"/>
                        <w:right w:val="none" w:sz="0" w:space="0" w:color="auto"/>
                      </w:divBdr>
                      <w:divsChild>
                        <w:div w:id="1943881080">
                          <w:marLeft w:val="0"/>
                          <w:marRight w:val="0"/>
                          <w:marTop w:val="0"/>
                          <w:marBottom w:val="0"/>
                          <w:divBdr>
                            <w:top w:val="none" w:sz="0" w:space="0" w:color="auto"/>
                            <w:left w:val="none" w:sz="0" w:space="0" w:color="auto"/>
                            <w:bottom w:val="none" w:sz="0" w:space="0" w:color="auto"/>
                            <w:right w:val="none" w:sz="0" w:space="0" w:color="auto"/>
                          </w:divBdr>
                          <w:divsChild>
                            <w:div w:id="198581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Rogoski, Linda (GET)</dc:creator>
  <cp:keywords/>
  <dc:description/>
  <cp:lastModifiedBy>Rogoski, Linda (GET)</cp:lastModifiedBy>
  <cp:revision>5</cp:revision>
  <dcterms:created xsi:type="dcterms:W3CDTF">2021-07-21T15:45:00Z</dcterms:created>
  <dcterms:modified xsi:type="dcterms:W3CDTF">2021-07-21T17:48:00Z</dcterms:modified>
</cp:coreProperties>
</file>