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E56E8F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E56E8F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C3086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4445C2">
              <w:rPr>
                <w:color w:val="000000"/>
                <w:sz w:val="22"/>
              </w:rPr>
              <w:t>May 10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4445C2" w:rsidP="007A341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10</w:t>
            </w:r>
            <w:r w:rsidR="007A3419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4445C2" w:rsidP="00C3086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11</w:t>
            </w:r>
            <w:r w:rsidR="007A3419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B9516C" w:rsidP="00CC48DB">
            <w:pPr>
              <w:jc w:val="right"/>
            </w:pPr>
            <w:r>
              <w:t>2</w:t>
            </w:r>
            <w:r w:rsidR="00CC48DB">
              <w:t>7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7A3419" w:rsidP="007A3419">
            <w:pPr>
              <w:jc w:val="right"/>
            </w:pPr>
            <w:r>
              <w:t>73 128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D1045F" w:rsidP="00CC48DB">
            <w:pPr>
              <w:jc w:val="right"/>
            </w:pPr>
            <w:r>
              <w:t>5</w:t>
            </w:r>
            <w:r w:rsidR="00CC48DB"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3D0CE0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DC1AF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C1AFB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A03EB2" w:rsidRDefault="00DC1AFB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175 733.6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DC1A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C1AFB">
              <w:rPr>
                <w:color w:val="000000"/>
              </w:rPr>
              <w:t>214 985.5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E56E8F" w:rsidRDefault="00E56E8F" w:rsidP="00F948CB">
      <w:pPr>
        <w:keepLines/>
        <w:tabs>
          <w:tab w:val="left" w:pos="2160"/>
          <w:tab w:val="left" w:pos="3060"/>
        </w:tabs>
      </w:pPr>
    </w:p>
    <w:p w:rsidR="00E56E8F" w:rsidRDefault="00E56E8F" w:rsidP="00F948CB">
      <w:pPr>
        <w:keepLines/>
        <w:tabs>
          <w:tab w:val="left" w:pos="2160"/>
          <w:tab w:val="left" w:pos="3060"/>
        </w:tabs>
      </w:pPr>
    </w:p>
    <w:p w:rsidR="00E56E8F" w:rsidRDefault="00E56E8F" w:rsidP="00F948CB">
      <w:pPr>
        <w:keepLines/>
        <w:tabs>
          <w:tab w:val="left" w:pos="2160"/>
          <w:tab w:val="left" w:pos="3060"/>
        </w:tabs>
      </w:pPr>
    </w:p>
    <w:p w:rsidR="00E56E8F" w:rsidRDefault="00E56E8F" w:rsidP="00F948CB">
      <w:pPr>
        <w:keepLines/>
        <w:tabs>
          <w:tab w:val="left" w:pos="2160"/>
          <w:tab w:val="left" w:pos="3060"/>
        </w:tabs>
      </w:pPr>
    </w:p>
    <w:p w:rsidR="00E56E8F" w:rsidRDefault="00E56E8F" w:rsidP="00F948CB">
      <w:pPr>
        <w:keepLines/>
        <w:tabs>
          <w:tab w:val="left" w:pos="2160"/>
          <w:tab w:val="left" w:pos="3060"/>
        </w:tabs>
      </w:pPr>
    </w:p>
    <w:p w:rsidR="00E56E8F" w:rsidRDefault="00E56E8F" w:rsidP="00F948CB">
      <w:pPr>
        <w:keepLines/>
        <w:tabs>
          <w:tab w:val="left" w:pos="2160"/>
          <w:tab w:val="left" w:pos="3060"/>
        </w:tabs>
      </w:pPr>
    </w:p>
    <w:p w:rsidR="00E56E8F" w:rsidRDefault="00E56E8F" w:rsidP="00F948CB">
      <w:pPr>
        <w:keepLines/>
        <w:tabs>
          <w:tab w:val="left" w:pos="2160"/>
          <w:tab w:val="left" w:pos="3060"/>
        </w:tabs>
      </w:pPr>
    </w:p>
    <w:p w:rsidR="00E56E8F" w:rsidRDefault="00E56E8F" w:rsidP="00E56E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E56E8F" w:rsidRDefault="00E56E8F" w:rsidP="00E56E8F">
      <w:pPr>
        <w:jc w:val="center"/>
        <w:rPr>
          <w:sz w:val="24"/>
          <w:szCs w:val="24"/>
        </w:rPr>
      </w:pPr>
    </w:p>
    <w:p w:rsidR="00E56E8F" w:rsidRDefault="00E56E8F" w:rsidP="00E56E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May 2021</w:t>
      </w:r>
    </w:p>
    <w:p w:rsidR="00E56E8F" w:rsidRDefault="00E56E8F" w:rsidP="00E56E8F"/>
    <w:p w:rsidR="00E56E8F" w:rsidRDefault="00E56E8F" w:rsidP="00E56E8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56E8F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t>Lic. No.: 11511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t>Virden Roselea Unit No. 2 DIR 7-5-11-25 (WPM)</w:t>
            </w:r>
          </w:p>
          <w:p w:rsidR="00E56E8F" w:rsidRDefault="00E56E8F" w:rsidP="009369E3">
            <w:pPr>
              <w:keepLines/>
            </w:pPr>
            <w:r>
              <w:t>UWI:102.07-05-011-25W1.00</w:t>
            </w:r>
          </w:p>
          <w:p w:rsidR="00E56E8F" w:rsidRDefault="00E56E8F" w:rsidP="009369E3">
            <w:pPr>
              <w:keepLines/>
            </w:pPr>
            <w:r>
              <w:t>Licence Issued: 04-May-2021</w:t>
            </w:r>
          </w:p>
          <w:p w:rsidR="00E56E8F" w:rsidRDefault="00E56E8F" w:rsidP="009369E3">
            <w:pPr>
              <w:keepLines/>
            </w:pPr>
            <w:r>
              <w:t>Licensee: Corex Resources Ltd</w:t>
            </w:r>
          </w:p>
          <w:p w:rsidR="00E56E8F" w:rsidRDefault="00E56E8F" w:rsidP="009369E3">
            <w:pPr>
              <w:keepLines/>
            </w:pPr>
            <w:r>
              <w:t>Mineral Rights: Corex Resources Ltd</w:t>
            </w:r>
          </w:p>
          <w:p w:rsidR="00E56E8F" w:rsidRDefault="00E56E8F" w:rsidP="009369E3">
            <w:pPr>
              <w:keepLines/>
            </w:pPr>
            <w:r>
              <w:t>Contractor: Ensign Drilling Inc. - Rig# 14</w:t>
            </w:r>
          </w:p>
          <w:p w:rsidR="00E56E8F" w:rsidRDefault="00E56E8F" w:rsidP="009369E3">
            <w:pPr>
              <w:keepLines/>
            </w:pPr>
            <w:r>
              <w:t>Surface Location: 7B-5-11-25</w:t>
            </w:r>
          </w:p>
          <w:p w:rsidR="00E56E8F" w:rsidRDefault="00E56E8F" w:rsidP="009369E3">
            <w:pPr>
              <w:keepLines/>
            </w:pPr>
            <w:r>
              <w:t>Co-ords: 580.00 m N of S of Sec 5</w:t>
            </w:r>
          </w:p>
          <w:p w:rsidR="00E56E8F" w:rsidRDefault="00E56E8F" w:rsidP="009369E3">
            <w:pPr>
              <w:keepLines/>
            </w:pPr>
            <w:r>
              <w:t xml:space="preserve">        715.00 m W of E of Sec 5</w:t>
            </w:r>
          </w:p>
          <w:p w:rsidR="00E56E8F" w:rsidRDefault="00E56E8F" w:rsidP="009369E3">
            <w:pPr>
              <w:keepLines/>
            </w:pPr>
            <w:r>
              <w:t>Grd Elev: 433.75 m</w:t>
            </w:r>
          </w:p>
          <w:p w:rsidR="00E56E8F" w:rsidRDefault="00E56E8F" w:rsidP="009369E3">
            <w:pPr>
              <w:keepLines/>
            </w:pPr>
            <w:r>
              <w:t>Proj. TD: 644.69 m (Mississippian)</w:t>
            </w:r>
          </w:p>
          <w:p w:rsidR="00E56E8F" w:rsidRDefault="00E56E8F" w:rsidP="009369E3">
            <w:pPr>
              <w:keepLines/>
            </w:pPr>
            <w:r>
              <w:t>Field: Daly Sinclair</w:t>
            </w:r>
          </w:p>
          <w:p w:rsidR="00E56E8F" w:rsidRDefault="00E56E8F" w:rsidP="009369E3">
            <w:pPr>
              <w:keepLines/>
            </w:pPr>
            <w:r>
              <w:t>Classification: Non Confidential Development</w:t>
            </w:r>
          </w:p>
          <w:p w:rsidR="00E56E8F" w:rsidRDefault="00E56E8F" w:rsidP="009369E3">
            <w:pPr>
              <w:keepLines/>
            </w:pPr>
            <w:r>
              <w:t>Status: Location(LOC)</w:t>
            </w:r>
          </w:p>
          <w:p w:rsidR="00E56E8F" w:rsidRDefault="00E56E8F" w:rsidP="009369E3">
            <w:pPr>
              <w:keepLines/>
            </w:pPr>
          </w:p>
        </w:tc>
      </w:tr>
      <w:tr w:rsidR="00E56E8F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t>Lic. No.: 11512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t>Corex Virden HZNTL 01-05-11-25 (WPM)</w:t>
            </w:r>
          </w:p>
          <w:p w:rsidR="00E56E8F" w:rsidRDefault="00E56E8F" w:rsidP="009369E3">
            <w:pPr>
              <w:keepLines/>
            </w:pPr>
            <w:r>
              <w:t>UWI:100.01-05-011-25W1.00</w:t>
            </w:r>
          </w:p>
          <w:p w:rsidR="00E56E8F" w:rsidRDefault="00E56E8F" w:rsidP="009369E3">
            <w:pPr>
              <w:keepLines/>
            </w:pPr>
            <w:r>
              <w:t>Licence Issued: 05-May-2021</w:t>
            </w:r>
          </w:p>
          <w:p w:rsidR="00E56E8F" w:rsidRDefault="00E56E8F" w:rsidP="009369E3">
            <w:pPr>
              <w:keepLines/>
            </w:pPr>
            <w:r>
              <w:t>Licensee: Corex Resources Ltd.</w:t>
            </w:r>
          </w:p>
          <w:p w:rsidR="00E56E8F" w:rsidRDefault="00E56E8F" w:rsidP="009369E3">
            <w:pPr>
              <w:keepLines/>
            </w:pPr>
            <w:r>
              <w:t>Mineral Rights: Corex Resources Ltd.</w:t>
            </w:r>
          </w:p>
          <w:p w:rsidR="00E56E8F" w:rsidRDefault="00E56E8F" w:rsidP="009369E3">
            <w:pPr>
              <w:keepLines/>
            </w:pPr>
            <w:r>
              <w:t>Contractor: Ensign Drilling Inc. - Rig# 14</w:t>
            </w:r>
          </w:p>
          <w:p w:rsidR="00E56E8F" w:rsidRDefault="00E56E8F" w:rsidP="009369E3">
            <w:pPr>
              <w:keepLines/>
            </w:pPr>
            <w:r>
              <w:t>Surface Location: 4D-5-11-25</w:t>
            </w:r>
          </w:p>
          <w:p w:rsidR="00E56E8F" w:rsidRDefault="00E56E8F" w:rsidP="009369E3">
            <w:pPr>
              <w:keepLines/>
            </w:pPr>
            <w:r>
              <w:t>Co-ords: 225.01 m N of S of Sec 5</w:t>
            </w:r>
          </w:p>
          <w:p w:rsidR="00E56E8F" w:rsidRDefault="00E56E8F" w:rsidP="009369E3">
            <w:pPr>
              <w:keepLines/>
            </w:pPr>
            <w:r>
              <w:t xml:space="preserve">        236.03 m E of W of Sec 5</w:t>
            </w:r>
          </w:p>
          <w:p w:rsidR="00E56E8F" w:rsidRDefault="00E56E8F" w:rsidP="009369E3">
            <w:pPr>
              <w:keepLines/>
            </w:pPr>
            <w:r>
              <w:t>Grd Elev: 433.67 m</w:t>
            </w:r>
          </w:p>
          <w:p w:rsidR="00E56E8F" w:rsidRDefault="00E56E8F" w:rsidP="009369E3">
            <w:pPr>
              <w:keepLines/>
            </w:pPr>
            <w:r>
              <w:t>Proj. TD: 1757.78 m (Mississippian)</w:t>
            </w:r>
          </w:p>
          <w:p w:rsidR="00E56E8F" w:rsidRDefault="00E56E8F" w:rsidP="009369E3">
            <w:pPr>
              <w:keepLines/>
            </w:pPr>
            <w:r>
              <w:t>Field: Virden</w:t>
            </w:r>
          </w:p>
          <w:p w:rsidR="00E56E8F" w:rsidRDefault="00E56E8F" w:rsidP="009369E3">
            <w:pPr>
              <w:keepLines/>
            </w:pPr>
            <w:r>
              <w:t>Classification: Non Confidential Development</w:t>
            </w:r>
          </w:p>
          <w:p w:rsidR="00E56E8F" w:rsidRDefault="00E56E8F" w:rsidP="009369E3">
            <w:pPr>
              <w:keepLines/>
            </w:pPr>
            <w:r>
              <w:t>Status: Location(LOC)</w:t>
            </w:r>
          </w:p>
          <w:p w:rsidR="00E56E8F" w:rsidRDefault="00E56E8F" w:rsidP="009369E3">
            <w:pPr>
              <w:keepLines/>
            </w:pPr>
          </w:p>
        </w:tc>
      </w:tr>
      <w:tr w:rsidR="00E56E8F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t>Lic. No.: 11513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t>Corex Virden  HZNTL 13-32-10-25 (WPM)</w:t>
            </w:r>
          </w:p>
          <w:p w:rsidR="00E56E8F" w:rsidRDefault="00E56E8F" w:rsidP="009369E3">
            <w:pPr>
              <w:keepLines/>
            </w:pPr>
            <w:r>
              <w:t>UWI:102.13-32-010-25W1.00</w:t>
            </w:r>
          </w:p>
          <w:p w:rsidR="00E56E8F" w:rsidRDefault="00E56E8F" w:rsidP="009369E3">
            <w:pPr>
              <w:keepLines/>
            </w:pPr>
            <w:r>
              <w:t>Licence Issued: 06-May-2021</w:t>
            </w:r>
          </w:p>
          <w:p w:rsidR="00E56E8F" w:rsidRDefault="00E56E8F" w:rsidP="009369E3">
            <w:pPr>
              <w:keepLines/>
            </w:pPr>
            <w:r>
              <w:t>Licensee: Corex Resources Ltd</w:t>
            </w:r>
          </w:p>
          <w:p w:rsidR="00E56E8F" w:rsidRDefault="00E56E8F" w:rsidP="009369E3">
            <w:pPr>
              <w:keepLines/>
            </w:pPr>
            <w:r>
              <w:t>Mineral Rights: Corex Resources Ltd</w:t>
            </w:r>
          </w:p>
          <w:p w:rsidR="00E56E8F" w:rsidRDefault="00E56E8F" w:rsidP="009369E3">
            <w:pPr>
              <w:keepLines/>
            </w:pPr>
            <w:r>
              <w:t>Contractor: Ensign Drilling Inc. - Rig# 14</w:t>
            </w:r>
          </w:p>
          <w:p w:rsidR="00E56E8F" w:rsidRDefault="00E56E8F" w:rsidP="009369E3">
            <w:pPr>
              <w:keepLines/>
            </w:pPr>
            <w:r>
              <w:t>Surface Location: 13A-31-10-25</w:t>
            </w:r>
          </w:p>
          <w:p w:rsidR="00E56E8F" w:rsidRDefault="00E56E8F" w:rsidP="009369E3">
            <w:pPr>
              <w:keepLines/>
            </w:pPr>
            <w:r>
              <w:t>Co-ords: 220.00 m S of N of Sec 31</w:t>
            </w:r>
          </w:p>
          <w:p w:rsidR="00E56E8F" w:rsidRDefault="00E56E8F" w:rsidP="009369E3">
            <w:pPr>
              <w:keepLines/>
            </w:pPr>
            <w:r>
              <w:t xml:space="preserve">        345.04 m E of W of Sec 31</w:t>
            </w:r>
          </w:p>
          <w:p w:rsidR="00E56E8F" w:rsidRDefault="00E56E8F" w:rsidP="009369E3">
            <w:pPr>
              <w:keepLines/>
            </w:pPr>
            <w:r>
              <w:t>Grd Elev: 431.70 m</w:t>
            </w:r>
          </w:p>
          <w:p w:rsidR="00E56E8F" w:rsidRDefault="00E56E8F" w:rsidP="009369E3">
            <w:pPr>
              <w:keepLines/>
            </w:pPr>
            <w:r>
              <w:t>Proj. TD: 1974.42 m (Mississippian)</w:t>
            </w:r>
          </w:p>
          <w:p w:rsidR="00E56E8F" w:rsidRDefault="00E56E8F" w:rsidP="009369E3">
            <w:pPr>
              <w:keepLines/>
            </w:pPr>
            <w:r>
              <w:t>Field: Virden</w:t>
            </w:r>
          </w:p>
          <w:p w:rsidR="00E56E8F" w:rsidRDefault="00E56E8F" w:rsidP="009369E3">
            <w:pPr>
              <w:keepLines/>
            </w:pPr>
            <w:r>
              <w:t>Classification: Non Confidential Development</w:t>
            </w:r>
          </w:p>
          <w:p w:rsidR="00E56E8F" w:rsidRDefault="00E56E8F" w:rsidP="009369E3">
            <w:pPr>
              <w:keepLines/>
            </w:pPr>
            <w:r>
              <w:t>Status: Location(LOC)</w:t>
            </w:r>
          </w:p>
          <w:p w:rsidR="00E56E8F" w:rsidRDefault="00E56E8F" w:rsidP="009369E3">
            <w:pPr>
              <w:keepLines/>
            </w:pPr>
          </w:p>
        </w:tc>
      </w:tr>
      <w:tr w:rsidR="00E56E8F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lastRenderedPageBreak/>
              <w:t>Lic. No.: 11514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t>Corex Virden HZNTL A9-31-10-25 (WPM)</w:t>
            </w:r>
          </w:p>
          <w:p w:rsidR="00E56E8F" w:rsidRDefault="00E56E8F" w:rsidP="009369E3">
            <w:pPr>
              <w:keepLines/>
            </w:pPr>
            <w:r>
              <w:t>UWI:102.09-31-010-25W1.00</w:t>
            </w:r>
          </w:p>
          <w:p w:rsidR="00E56E8F" w:rsidRDefault="00E56E8F" w:rsidP="009369E3">
            <w:pPr>
              <w:keepLines/>
            </w:pPr>
            <w:r>
              <w:t>Licence Issued: 06-May-2021</w:t>
            </w:r>
          </w:p>
          <w:p w:rsidR="00E56E8F" w:rsidRDefault="00E56E8F" w:rsidP="009369E3">
            <w:pPr>
              <w:keepLines/>
            </w:pPr>
            <w:r>
              <w:t>Licensee: Corex Resources Ltd</w:t>
            </w:r>
          </w:p>
          <w:p w:rsidR="00E56E8F" w:rsidRDefault="00E56E8F" w:rsidP="009369E3">
            <w:pPr>
              <w:keepLines/>
            </w:pPr>
            <w:r>
              <w:t>Mineral Rights: Corex Resources Ltd</w:t>
            </w:r>
          </w:p>
          <w:p w:rsidR="00E56E8F" w:rsidRDefault="00E56E8F" w:rsidP="009369E3">
            <w:pPr>
              <w:keepLines/>
            </w:pPr>
            <w:r>
              <w:t>Contractor: Ensign Drilling Inc. - Rig# 14</w:t>
            </w:r>
          </w:p>
          <w:p w:rsidR="00E56E8F" w:rsidRDefault="00E56E8F" w:rsidP="009369E3">
            <w:pPr>
              <w:keepLines/>
            </w:pPr>
            <w:r>
              <w:t>Surface Location: 12D-31-10-25</w:t>
            </w:r>
          </w:p>
          <w:p w:rsidR="00E56E8F" w:rsidRDefault="00E56E8F" w:rsidP="009369E3">
            <w:pPr>
              <w:keepLines/>
            </w:pPr>
            <w:r>
              <w:t>Co-ords: 580.00 m S of N of Sec 31</w:t>
            </w:r>
          </w:p>
          <w:p w:rsidR="00E56E8F" w:rsidRDefault="00E56E8F" w:rsidP="009369E3">
            <w:pPr>
              <w:keepLines/>
            </w:pPr>
            <w:r>
              <w:t xml:space="preserve">        349.95 m E of W of Sec 31</w:t>
            </w:r>
          </w:p>
          <w:p w:rsidR="00E56E8F" w:rsidRDefault="00E56E8F" w:rsidP="009369E3">
            <w:pPr>
              <w:keepLines/>
            </w:pPr>
            <w:r>
              <w:t>Grd Elev: 430.44 m</w:t>
            </w:r>
          </w:p>
          <w:p w:rsidR="00E56E8F" w:rsidRDefault="00E56E8F" w:rsidP="009369E3">
            <w:pPr>
              <w:keepLines/>
            </w:pPr>
            <w:r>
              <w:t>Proj. TD: 1444.13 m (Mississippian)</w:t>
            </w:r>
          </w:p>
          <w:p w:rsidR="00E56E8F" w:rsidRDefault="00E56E8F" w:rsidP="009369E3">
            <w:pPr>
              <w:keepLines/>
            </w:pPr>
            <w:r>
              <w:t>Field: Virden</w:t>
            </w:r>
          </w:p>
          <w:p w:rsidR="00E56E8F" w:rsidRDefault="00E56E8F" w:rsidP="009369E3">
            <w:pPr>
              <w:keepLines/>
            </w:pPr>
            <w:r>
              <w:t>Classification: Non Confidential Development</w:t>
            </w:r>
          </w:p>
          <w:p w:rsidR="00E56E8F" w:rsidRDefault="00E56E8F" w:rsidP="009369E3">
            <w:pPr>
              <w:keepLines/>
            </w:pPr>
            <w:r>
              <w:t>Status: Location(LOC)</w:t>
            </w:r>
          </w:p>
          <w:p w:rsidR="00E56E8F" w:rsidRDefault="00E56E8F" w:rsidP="009369E3">
            <w:pPr>
              <w:keepLines/>
            </w:pPr>
          </w:p>
        </w:tc>
      </w:tr>
      <w:tr w:rsidR="00E56E8F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t>Lic. No.: 11515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t>Corex Virden DIR 06-05-11-25 (WPM)</w:t>
            </w:r>
          </w:p>
          <w:p w:rsidR="00E56E8F" w:rsidRDefault="00E56E8F" w:rsidP="009369E3">
            <w:pPr>
              <w:keepLines/>
            </w:pPr>
            <w:r>
              <w:t>UWI:100.06-05-011-25W1.00</w:t>
            </w:r>
          </w:p>
          <w:p w:rsidR="00E56E8F" w:rsidRDefault="00E56E8F" w:rsidP="009369E3">
            <w:pPr>
              <w:keepLines/>
            </w:pPr>
            <w:r>
              <w:t>Licence Issued: 06-May-2021</w:t>
            </w:r>
          </w:p>
          <w:p w:rsidR="00E56E8F" w:rsidRDefault="00E56E8F" w:rsidP="009369E3">
            <w:pPr>
              <w:keepLines/>
            </w:pPr>
            <w:r>
              <w:t>Licensee: Corex Resources Ltd</w:t>
            </w:r>
          </w:p>
          <w:p w:rsidR="00E56E8F" w:rsidRDefault="00E56E8F" w:rsidP="009369E3">
            <w:pPr>
              <w:keepLines/>
            </w:pPr>
            <w:r>
              <w:t>Mineral Rights: Corex Resources Ltd</w:t>
            </w:r>
          </w:p>
          <w:p w:rsidR="00E56E8F" w:rsidRDefault="00E56E8F" w:rsidP="009369E3">
            <w:pPr>
              <w:keepLines/>
            </w:pPr>
            <w:r>
              <w:t>Contractor: Ensign Drilling Inc. - Rig# 14</w:t>
            </w:r>
          </w:p>
          <w:p w:rsidR="00E56E8F" w:rsidRDefault="00E56E8F" w:rsidP="009369E3">
            <w:pPr>
              <w:keepLines/>
            </w:pPr>
            <w:r>
              <w:t>Surface Location: 6B-5-11-25</w:t>
            </w:r>
          </w:p>
          <w:p w:rsidR="00E56E8F" w:rsidRDefault="00E56E8F" w:rsidP="009369E3">
            <w:pPr>
              <w:keepLines/>
            </w:pPr>
            <w:r>
              <w:t>Co-ords: 570.00 m N of S of Sec 5</w:t>
            </w:r>
          </w:p>
          <w:p w:rsidR="00E56E8F" w:rsidRDefault="00E56E8F" w:rsidP="009369E3">
            <w:pPr>
              <w:keepLines/>
            </w:pPr>
            <w:r>
              <w:t xml:space="preserve">        500.00 m E of W of Sec 5</w:t>
            </w:r>
          </w:p>
          <w:p w:rsidR="00E56E8F" w:rsidRDefault="00E56E8F" w:rsidP="009369E3">
            <w:pPr>
              <w:keepLines/>
            </w:pPr>
            <w:r>
              <w:t>Grd Elev: 433.48 m</w:t>
            </w:r>
          </w:p>
          <w:p w:rsidR="00E56E8F" w:rsidRDefault="00E56E8F" w:rsidP="009369E3">
            <w:pPr>
              <w:keepLines/>
            </w:pPr>
            <w:r>
              <w:t>Proj. TD: 643.65 m (Mississippian)</w:t>
            </w:r>
          </w:p>
          <w:p w:rsidR="00E56E8F" w:rsidRDefault="00E56E8F" w:rsidP="009369E3">
            <w:pPr>
              <w:keepLines/>
            </w:pPr>
            <w:r>
              <w:t>Field: Virden</w:t>
            </w:r>
          </w:p>
          <w:p w:rsidR="00E56E8F" w:rsidRDefault="00E56E8F" w:rsidP="009369E3">
            <w:pPr>
              <w:keepLines/>
            </w:pPr>
            <w:r>
              <w:t>Classification: Non Confidential Development</w:t>
            </w:r>
          </w:p>
          <w:p w:rsidR="00E56E8F" w:rsidRDefault="00E56E8F" w:rsidP="009369E3">
            <w:pPr>
              <w:keepLines/>
            </w:pPr>
            <w:r>
              <w:t>Status: Location(LOC)</w:t>
            </w:r>
          </w:p>
          <w:p w:rsidR="00E56E8F" w:rsidRDefault="00E56E8F" w:rsidP="009369E3">
            <w:pPr>
              <w:keepLines/>
            </w:pPr>
          </w:p>
        </w:tc>
      </w:tr>
      <w:tr w:rsidR="00E56E8F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t>Lic. No.: 11516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56E8F" w:rsidRDefault="00E56E8F" w:rsidP="009369E3">
            <w:pPr>
              <w:keepLines/>
            </w:pPr>
            <w:r>
              <w:t>Tundra Daly Sinclair Prov. HZNTL 5-28-9-29 (WPM)</w:t>
            </w:r>
          </w:p>
          <w:p w:rsidR="00E56E8F" w:rsidRDefault="00E56E8F" w:rsidP="009369E3">
            <w:pPr>
              <w:keepLines/>
            </w:pPr>
            <w:r>
              <w:t>UWI:102.05-28-009-29W1.00</w:t>
            </w:r>
          </w:p>
          <w:p w:rsidR="00E56E8F" w:rsidRDefault="00E56E8F" w:rsidP="009369E3">
            <w:pPr>
              <w:keepLines/>
            </w:pPr>
            <w:r>
              <w:t>Licence Issued: 10-May-2021</w:t>
            </w:r>
          </w:p>
          <w:p w:rsidR="00E56E8F" w:rsidRDefault="00E56E8F" w:rsidP="009369E3">
            <w:pPr>
              <w:keepLines/>
            </w:pPr>
            <w:r>
              <w:t>Licensee: Tundra</w:t>
            </w:r>
          </w:p>
          <w:p w:rsidR="00E56E8F" w:rsidRDefault="00E56E8F" w:rsidP="009369E3">
            <w:pPr>
              <w:keepLines/>
            </w:pPr>
            <w:r>
              <w:t>Mineral Rights: Tundra</w:t>
            </w:r>
          </w:p>
          <w:p w:rsidR="00E56E8F" w:rsidRDefault="00E56E8F" w:rsidP="009369E3">
            <w:pPr>
              <w:keepLines/>
            </w:pPr>
            <w:r>
              <w:t>Contractor: Ensign Drilling Inc. - Rig# 9</w:t>
            </w:r>
          </w:p>
          <w:p w:rsidR="00E56E8F" w:rsidRDefault="00E56E8F" w:rsidP="009369E3">
            <w:pPr>
              <w:keepLines/>
            </w:pPr>
            <w:r>
              <w:t>Surface Location: 8A-28-9-29</w:t>
            </w:r>
          </w:p>
          <w:p w:rsidR="00E56E8F" w:rsidRDefault="00E56E8F" w:rsidP="009369E3">
            <w:pPr>
              <w:keepLines/>
            </w:pPr>
            <w:r>
              <w:t>Co-ords: 503.89 m N of S of Sec 28</w:t>
            </w:r>
          </w:p>
          <w:p w:rsidR="00E56E8F" w:rsidRDefault="00E56E8F" w:rsidP="009369E3">
            <w:pPr>
              <w:keepLines/>
            </w:pPr>
            <w:r>
              <w:t xml:space="preserve">        60.00 m W of E of Sec 28</w:t>
            </w:r>
          </w:p>
          <w:p w:rsidR="00E56E8F" w:rsidRDefault="00E56E8F" w:rsidP="009369E3">
            <w:pPr>
              <w:keepLines/>
            </w:pPr>
            <w:r>
              <w:t>Grd Elev: 531.95 m</w:t>
            </w:r>
          </w:p>
          <w:p w:rsidR="00E56E8F" w:rsidRDefault="00E56E8F" w:rsidP="009369E3">
            <w:pPr>
              <w:keepLines/>
            </w:pPr>
            <w:r>
              <w:t>Proj. TD: 2183.60 m (Mississippian)</w:t>
            </w:r>
          </w:p>
          <w:p w:rsidR="00E56E8F" w:rsidRDefault="00E56E8F" w:rsidP="009369E3">
            <w:pPr>
              <w:keepLines/>
            </w:pPr>
            <w:r>
              <w:t>Field: Daly Sinclair</w:t>
            </w:r>
          </w:p>
          <w:p w:rsidR="00E56E8F" w:rsidRDefault="00E56E8F" w:rsidP="009369E3">
            <w:pPr>
              <w:keepLines/>
            </w:pPr>
            <w:r>
              <w:t>Classification: Non Confidential Development</w:t>
            </w:r>
          </w:p>
          <w:p w:rsidR="00E56E8F" w:rsidRDefault="00E56E8F" w:rsidP="009369E3">
            <w:pPr>
              <w:keepLines/>
            </w:pPr>
            <w:r>
              <w:t>Status: Location(LOC)</w:t>
            </w:r>
          </w:p>
          <w:p w:rsidR="00E56E8F" w:rsidRDefault="00E56E8F" w:rsidP="009369E3">
            <w:pPr>
              <w:keepLines/>
            </w:pPr>
          </w:p>
        </w:tc>
      </w:tr>
    </w:tbl>
    <w:p w:rsidR="00E56E8F" w:rsidRDefault="00E56E8F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E56E8F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E8F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E8F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0CE0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5CBD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48DB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45F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6E8F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0C4136F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EE085-AA7C-40A2-AB02-61C6F8C6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4191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2022-07-15T14:42:00Z</dcterms:created>
  <dcterms:modified xsi:type="dcterms:W3CDTF">2022-07-15T14:42:00Z</dcterms:modified>
</cp:coreProperties>
</file>